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FED9" w14:textId="77777777" w:rsidR="00EE730B" w:rsidRPr="00264E9E" w:rsidRDefault="00EE730B" w:rsidP="00EE730B">
      <w:pPr>
        <w:pStyle w:val="Stlus3"/>
        <w:spacing w:after="120"/>
      </w:pPr>
      <w:bookmarkStart w:id="0" w:name="_Hlk191991716"/>
      <w:r w:rsidRPr="00264E9E">
        <w:t>Az Lke-E1 (1) jelű építési övezet felülvizsgálata</w:t>
      </w:r>
    </w:p>
    <w:bookmarkEnd w:id="0"/>
    <w:p w14:paraId="37C69B28" w14:textId="55F623AF" w:rsidR="00EE730B" w:rsidRPr="00264E9E" w:rsidRDefault="00EE730B" w:rsidP="00EE730B">
      <w:pPr>
        <w:rPr>
          <w:bCs/>
        </w:rPr>
      </w:pPr>
      <w:r w:rsidRPr="00264E9E">
        <w:rPr>
          <w:bCs/>
        </w:rPr>
        <w:t>Az Lke-E1 (1) jelű építési övezetek felülvizsgálatának indoka</w:t>
      </w:r>
      <w:r w:rsidR="00185D8E" w:rsidRPr="00264E9E">
        <w:rPr>
          <w:bCs/>
        </w:rPr>
        <w:t>, hogy a hatályos szabályozás</w:t>
      </w:r>
      <w:r w:rsidRPr="00264E9E">
        <w:rPr>
          <w:bCs/>
        </w:rPr>
        <w:t xml:space="preserve"> a nagy területű, még beépíthető telkeken </w:t>
      </w:r>
      <w:r w:rsidR="00185D8E" w:rsidRPr="00264E9E">
        <w:rPr>
          <w:bCs/>
        </w:rPr>
        <w:t>a lakó rendeltetéstől eltérő, jelentős mértékű új, illetve a meglévő mellett további beépítési lehetőséget biztosít</w:t>
      </w:r>
      <w:r w:rsidRPr="00264E9E">
        <w:rPr>
          <w:bCs/>
        </w:rPr>
        <w:t xml:space="preserve">, amely – </w:t>
      </w:r>
      <w:r w:rsidR="00185D8E" w:rsidRPr="00264E9E">
        <w:rPr>
          <w:bCs/>
        </w:rPr>
        <w:t>különös tekintettel a</w:t>
      </w:r>
      <w:r w:rsidR="003451F3" w:rsidRPr="00264E9E">
        <w:rPr>
          <w:bCs/>
        </w:rPr>
        <w:t xml:space="preserve"> településszerkezeti elhelyezkedésre </w:t>
      </w:r>
      <w:r w:rsidR="00C206E0" w:rsidRPr="00264E9E">
        <w:rPr>
          <w:bCs/>
        </w:rPr>
        <w:t xml:space="preserve">- </w:t>
      </w:r>
      <w:r w:rsidR="003451F3" w:rsidRPr="00264E9E">
        <w:rPr>
          <w:bCs/>
        </w:rPr>
        <w:t>számottevő környezeti terhelést eredményezhet</w:t>
      </w:r>
      <w:r w:rsidR="00C206E0" w:rsidRPr="00264E9E">
        <w:rPr>
          <w:bCs/>
        </w:rPr>
        <w:t xml:space="preserve"> a már beépült lakóterületekre.</w:t>
      </w:r>
      <w:r w:rsidR="003451F3" w:rsidRPr="00264E9E">
        <w:rPr>
          <w:bCs/>
        </w:rPr>
        <w:t xml:space="preserve"> </w:t>
      </w:r>
      <w:r w:rsidRPr="00264E9E">
        <w:rPr>
          <w:bCs/>
        </w:rPr>
        <w:t xml:space="preserve">Ennek elkerülése érdekében javasolt korlátozni a zavaró forgalmat vonzó rendeltetések túlzott mértékű megjelenését a településen. </w:t>
      </w:r>
    </w:p>
    <w:p w14:paraId="593B1C94" w14:textId="77777777" w:rsidR="00EE730B" w:rsidRPr="00264E9E" w:rsidRDefault="00EE730B" w:rsidP="00EE730B">
      <w:pPr>
        <w:rPr>
          <w:bCs/>
        </w:rPr>
      </w:pPr>
    </w:p>
    <w:p w14:paraId="4BC44BCE" w14:textId="77777777" w:rsidR="00EE730B" w:rsidRPr="00264E9E" w:rsidRDefault="00EE730B" w:rsidP="00EE730B">
      <w:pPr>
        <w:rPr>
          <w:bCs/>
        </w:rPr>
      </w:pPr>
      <w:r w:rsidRPr="00264E9E">
        <w:rPr>
          <w:bCs/>
        </w:rPr>
        <w:t>Telki hatályos településrendezési eszközei szerint Lke-E1 (1) jelű építési övezet két jól elhatárolható területen található:</w:t>
      </w:r>
    </w:p>
    <w:p w14:paraId="449D0935" w14:textId="77777777" w:rsidR="00EE730B" w:rsidRPr="00264E9E" w:rsidRDefault="00EE730B" w:rsidP="00EE730B">
      <w:r w:rsidRPr="00264E9E">
        <w:t>2. terület: a Berkenye utca mentén</w:t>
      </w:r>
    </w:p>
    <w:p w14:paraId="57771B42" w14:textId="77777777" w:rsidR="00EE730B" w:rsidRPr="00264E9E" w:rsidRDefault="00EE730B" w:rsidP="00EE730B">
      <w:r w:rsidRPr="00264E9E">
        <w:t>3. terület: a Cinege utca környékén</w:t>
      </w:r>
    </w:p>
    <w:p w14:paraId="0F5D8720" w14:textId="77777777" w:rsidR="00EE730B" w:rsidRPr="00264E9E" w:rsidRDefault="00EE730B" w:rsidP="00EE730B">
      <w:pPr>
        <w:rPr>
          <w:bCs/>
        </w:rPr>
      </w:pPr>
    </w:p>
    <w:p w14:paraId="1215896E" w14:textId="77777777" w:rsidR="00EE730B" w:rsidRPr="00264E9E" w:rsidRDefault="00EE730B" w:rsidP="00EE730B">
      <w:pPr>
        <w:rPr>
          <w:bCs/>
        </w:rPr>
      </w:pPr>
      <w:r w:rsidRPr="00264E9E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5F39FD58" wp14:editId="4EB90C82">
            <wp:simplePos x="0" y="0"/>
            <wp:positionH relativeFrom="margin">
              <wp:align>right</wp:align>
            </wp:positionH>
            <wp:positionV relativeFrom="paragraph">
              <wp:posOffset>8871</wp:posOffset>
            </wp:positionV>
            <wp:extent cx="2033905" cy="1999615"/>
            <wp:effectExtent l="0" t="0" r="4445" b="635"/>
            <wp:wrapTight wrapText="bothSides">
              <wp:wrapPolygon edited="0">
                <wp:start x="0" y="0"/>
                <wp:lineTo x="0" y="21401"/>
                <wp:lineTo x="21445" y="21401"/>
                <wp:lineTo x="21445" y="0"/>
                <wp:lineTo x="0" y="0"/>
              </wp:wrapPolygon>
            </wp:wrapTight>
            <wp:docPr id="670676650" name="Kép 6" descr="A képen térkép, szöveg, diagram, sor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676650" name="Kép 6" descr="A képen térkép, szöveg, diagram, sor látható&#10;&#10;Előfordulhat, hogy a mesterséges intelligencia által létrehozott tartalom helytele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E9E">
        <w:rPr>
          <w:bCs/>
          <w:noProof/>
        </w:rPr>
        <w:t>A 2. terület</w:t>
      </w:r>
      <w:r w:rsidRPr="00264E9E">
        <w:rPr>
          <w:bCs/>
        </w:rPr>
        <w:t xml:space="preserve"> Telki északi részén található, a Berkenye köz, Berkenye utca, Levendula utca, Juharfa utca, belterületi határ által határolt Lke-E1 (1) jelű, kb. 2,8 ha területű építési övezetben 9 ingatlan található.</w:t>
      </w:r>
    </w:p>
    <w:p w14:paraId="5F45FA48" w14:textId="77777777" w:rsidR="00EE730B" w:rsidRPr="00264E9E" w:rsidRDefault="00EE730B" w:rsidP="00EE730B">
      <w:pPr>
        <w:rPr>
          <w:bCs/>
        </w:rPr>
      </w:pPr>
    </w:p>
    <w:p w14:paraId="1A9F7446" w14:textId="6586CA27" w:rsidR="00EE730B" w:rsidRPr="00264E9E" w:rsidRDefault="00EE730B" w:rsidP="003D6B60">
      <w:r w:rsidRPr="00264E9E">
        <w:t xml:space="preserve">A telkek területe 1061 és 15298 m2 közötti. Az átlagos telekterület kb. 3100 m2. Minden telek beépült, a beépítettség mértéke </w:t>
      </w:r>
      <w:r w:rsidR="00C70F43" w:rsidRPr="00264E9E">
        <w:t>tág határok</w:t>
      </w:r>
      <w:r w:rsidRPr="00264E9E">
        <w:t xml:space="preserve"> között mozog, az átlagos beépítettség kb. 15,8 </w:t>
      </w:r>
    </w:p>
    <w:p w14:paraId="723C6C48" w14:textId="77777777" w:rsidR="00EE730B" w:rsidRPr="00264E9E" w:rsidRDefault="00EE730B" w:rsidP="003D6B60">
      <w:pPr>
        <w:rPr>
          <w:bCs/>
        </w:rPr>
      </w:pPr>
    </w:p>
    <w:p w14:paraId="1312F19B" w14:textId="77777777" w:rsidR="00EE730B" w:rsidRPr="00264E9E" w:rsidRDefault="00EE730B" w:rsidP="00EE730B">
      <w:pPr>
        <w:rPr>
          <w:bCs/>
        </w:rPr>
      </w:pPr>
    </w:p>
    <w:p w14:paraId="58CB8D11" w14:textId="406E6476" w:rsidR="00EE730B" w:rsidRPr="00264E9E" w:rsidRDefault="003D6B60" w:rsidP="00EE730B">
      <w:pPr>
        <w:rPr>
          <w:bCs/>
        </w:rPr>
      </w:pPr>
      <w:r w:rsidRPr="00264E9E">
        <w:rPr>
          <w:bCs/>
          <w:noProof/>
        </w:rPr>
        <w:drawing>
          <wp:anchor distT="0" distB="0" distL="114300" distR="114300" simplePos="0" relativeHeight="251660288" behindDoc="1" locked="0" layoutInCell="1" allowOverlap="1" wp14:anchorId="2C21B484" wp14:editId="2D7862E9">
            <wp:simplePos x="0" y="0"/>
            <wp:positionH relativeFrom="margin">
              <wp:align>right</wp:align>
            </wp:positionH>
            <wp:positionV relativeFrom="paragraph">
              <wp:posOffset>97613</wp:posOffset>
            </wp:positionV>
            <wp:extent cx="2681605" cy="2681605"/>
            <wp:effectExtent l="0" t="0" r="4445" b="4445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1899040288" name="Kép 7" descr="A képen térkép, Légi fotó, Madártávlat, légi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40288" name="Kép 7" descr="A képen térkép, Légi fotó, Madártávlat, légi látható&#10;&#10;Előfordulhat, hogy a mesterséges intelligencia által létrehozott tartalom helytele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6E0" w:rsidRPr="00264E9E">
        <w:rPr>
          <w:bCs/>
        </w:rPr>
        <w:t>Számottevő é</w:t>
      </w:r>
      <w:r w:rsidR="00EE730B" w:rsidRPr="00264E9E">
        <w:rPr>
          <w:bCs/>
        </w:rPr>
        <w:t>pítési lehetőség az övezet legnagyobb alapterületű telkén (765/24 hrsz.) adódik, melynek beépítettsége jelenleg csak kb. 7 %</w:t>
      </w:r>
      <w:r w:rsidR="00C206E0" w:rsidRPr="00264E9E">
        <w:rPr>
          <w:bCs/>
        </w:rPr>
        <w:t xml:space="preserve">, tehát még </w:t>
      </w:r>
      <w:r w:rsidR="00497B58">
        <w:rPr>
          <w:bCs/>
        </w:rPr>
        <w:t xml:space="preserve">elvileg </w:t>
      </w:r>
      <w:r w:rsidR="00C70F43" w:rsidRPr="00264E9E">
        <w:rPr>
          <w:bCs/>
        </w:rPr>
        <w:t>23</w:t>
      </w:r>
      <w:r w:rsidR="00C206E0" w:rsidRPr="00264E9E">
        <w:rPr>
          <w:bCs/>
        </w:rPr>
        <w:t xml:space="preserve"> %, azaz </w:t>
      </w:r>
      <w:r w:rsidR="00C70F43" w:rsidRPr="00264E9E">
        <w:rPr>
          <w:bCs/>
        </w:rPr>
        <w:t>kb. 3600</w:t>
      </w:r>
      <w:r w:rsidR="00C206E0" w:rsidRPr="00264E9E">
        <w:rPr>
          <w:bCs/>
        </w:rPr>
        <w:t xml:space="preserve"> m2 építhető</w:t>
      </w:r>
      <w:r w:rsidR="00C70F43" w:rsidRPr="00264E9E">
        <w:rPr>
          <w:bCs/>
        </w:rPr>
        <w:t>.</w:t>
      </w:r>
    </w:p>
    <w:p w14:paraId="13EFA324" w14:textId="5400A202" w:rsidR="00EE730B" w:rsidRPr="00264E9E" w:rsidRDefault="00EE730B" w:rsidP="00EE730B">
      <w:pPr>
        <w:rPr>
          <w:bCs/>
        </w:rPr>
      </w:pPr>
      <w:r w:rsidRPr="00264E9E">
        <w:rPr>
          <w:bCs/>
        </w:rPr>
        <w:t xml:space="preserve">A 765/24 hrsz.-ú ingatlan területe 15298 m2. A hatályos HÉSZ szerint </w:t>
      </w:r>
      <w:r w:rsidR="00C206E0" w:rsidRPr="00264E9E">
        <w:rPr>
          <w:bCs/>
        </w:rPr>
        <w:t xml:space="preserve">elvileg </w:t>
      </w:r>
      <w:r w:rsidRPr="00264E9E">
        <w:rPr>
          <w:bCs/>
        </w:rPr>
        <w:t>5 db 3000 m2-es telek lenne kialakítható. A telken lévő beépítés miatt azonban ez nem valószínű</w:t>
      </w:r>
      <w:r w:rsidR="00C206E0" w:rsidRPr="00264E9E">
        <w:rPr>
          <w:bCs/>
        </w:rPr>
        <w:t>síthető</w:t>
      </w:r>
      <w:r w:rsidRPr="00264E9E">
        <w:rPr>
          <w:bCs/>
        </w:rPr>
        <w:t>. A meglévő beépített terület kb. 1000 m2 felett van és az épület - hosszúkás alakja</w:t>
      </w:r>
      <w:r w:rsidR="00C206E0" w:rsidRPr="00264E9E">
        <w:rPr>
          <w:bCs/>
        </w:rPr>
        <w:t>, va</w:t>
      </w:r>
      <w:r w:rsidR="00C70F43" w:rsidRPr="00264E9E">
        <w:rPr>
          <w:bCs/>
        </w:rPr>
        <w:t>l</w:t>
      </w:r>
      <w:r w:rsidR="00C206E0" w:rsidRPr="00264E9E">
        <w:rPr>
          <w:bCs/>
        </w:rPr>
        <w:t>amint a hozzá tartozóan kialakított kertrész</w:t>
      </w:r>
      <w:r w:rsidRPr="00264E9E">
        <w:rPr>
          <w:bCs/>
        </w:rPr>
        <w:t xml:space="preserve"> miatt - a telek kb. felét elfoglalja. Figyelembe véve a jelenlegi telekhasználatot, a telek megosztása után visszamaradó terület kb. 7000 m2, mely </w:t>
      </w:r>
      <w:r w:rsidR="00C206E0" w:rsidRPr="00264E9E">
        <w:rPr>
          <w:bCs/>
        </w:rPr>
        <w:t xml:space="preserve">további </w:t>
      </w:r>
      <w:r w:rsidRPr="00264E9E">
        <w:rPr>
          <w:bCs/>
        </w:rPr>
        <w:t>két telek kialakítását teszi lehetővé.</w:t>
      </w:r>
    </w:p>
    <w:p w14:paraId="6B524702" w14:textId="77777777" w:rsidR="00EE730B" w:rsidRPr="00264E9E" w:rsidRDefault="00EE730B" w:rsidP="00EE730B">
      <w:pPr>
        <w:rPr>
          <w:bCs/>
        </w:rPr>
      </w:pPr>
    </w:p>
    <w:p w14:paraId="4E7B1B00" w14:textId="77777777" w:rsidR="00EE730B" w:rsidRPr="00264E9E" w:rsidRDefault="00EE730B" w:rsidP="00EE730B">
      <w:pPr>
        <w:rPr>
          <w:bCs/>
        </w:rPr>
      </w:pPr>
      <w:r w:rsidRPr="00264E9E">
        <w:rPr>
          <w:bCs/>
        </w:rPr>
        <w:t xml:space="preserve">Az előírások szerint </w:t>
      </w:r>
      <w:proofErr w:type="spellStart"/>
      <w:r w:rsidRPr="00264E9E">
        <w:rPr>
          <w:bCs/>
        </w:rPr>
        <w:t>telkenként</w:t>
      </w:r>
      <w:proofErr w:type="spellEnd"/>
      <w:r w:rsidRPr="00264E9E">
        <w:rPr>
          <w:bCs/>
        </w:rPr>
        <w:t xml:space="preserve"> egy darab, legfeljebb 2 lakásos lakóépület, illetve hitéleti, nevelési, oktatási, egészségügyi, szociális rendeltetés, ezekkel egy tömegben </w:t>
      </w:r>
      <w:r w:rsidRPr="00264E9E">
        <w:t xml:space="preserve">legfeljebb 200 m2 bruttó szintterületű </w:t>
      </w:r>
      <w:r w:rsidRPr="00264E9E">
        <w:rPr>
          <w:bCs/>
        </w:rPr>
        <w:t>kereskedelmi, szolgáltató rendeltetés, valamint sport és 2 vendégszobaszámú szállás jellegű rendeltetés helyezhető el. A személygépkocsi tároló az épületben létesíthető.</w:t>
      </w:r>
    </w:p>
    <w:p w14:paraId="63C7B1D4" w14:textId="18370E45" w:rsidR="003D6B60" w:rsidRDefault="003D6B60">
      <w:pPr>
        <w:rPr>
          <w:bCs/>
        </w:rPr>
      </w:pPr>
      <w:r>
        <w:rPr>
          <w:bCs/>
        </w:rPr>
        <w:br w:type="page"/>
      </w:r>
    </w:p>
    <w:p w14:paraId="7EFE0241" w14:textId="77777777" w:rsidR="00EE730B" w:rsidRPr="00264E9E" w:rsidRDefault="00EE730B" w:rsidP="00EE730B">
      <w:pPr>
        <w:rPr>
          <w:bCs/>
        </w:rPr>
      </w:pPr>
      <w:r w:rsidRPr="00264E9E">
        <w:rPr>
          <w:bCs/>
        </w:rPr>
        <w:lastRenderedPageBreak/>
        <w:t>A telek további hasznosítására három változat lehetséges:</w:t>
      </w:r>
    </w:p>
    <w:p w14:paraId="71A97B8F" w14:textId="77777777" w:rsidR="00EE730B" w:rsidRPr="00264E9E" w:rsidRDefault="00EE730B" w:rsidP="00EE730B">
      <w:pPr>
        <w:pStyle w:val="Listaszerbekezds"/>
        <w:numPr>
          <w:ilvl w:val="0"/>
          <w:numId w:val="1"/>
        </w:numPr>
        <w:ind w:left="567" w:hanging="567"/>
      </w:pPr>
      <w:r w:rsidRPr="00264E9E">
        <w:t>A telek megosztása nélkül beépül annak szabad területe oly módon, hogy a 2020-ban bevezetett előírásnak megfelelően legfeljebb 500 m2 bruttó alapterületű épületekben a fent felsorolt funkciók közül – a lakó rendeltetés kivételével - bármelyik megvalósítható. Ennek megfelelően a telken még elhelyezhető 7 db 500 m2-es épület a telek megosztása nélkül.</w:t>
      </w:r>
    </w:p>
    <w:p w14:paraId="0DF61836" w14:textId="77777777" w:rsidR="00EE730B" w:rsidRPr="00264E9E" w:rsidRDefault="00EE730B" w:rsidP="00EE730B">
      <w:pPr>
        <w:pStyle w:val="Listaszerbekezds"/>
        <w:numPr>
          <w:ilvl w:val="0"/>
          <w:numId w:val="1"/>
        </w:numPr>
        <w:ind w:left="567" w:hanging="567"/>
      </w:pPr>
      <w:r w:rsidRPr="00264E9E">
        <w:t>A jelenlegi ingatlanból leválasztva a jelenleg használt területet, a visszamaradó kb. 7050 m2-es telken – annak megosztása nélkül – 4 db legfeljebb 500 m2-es épületekben legfeljebb 2 lakás és az előírásoknak megfelelő összes rendeltetés megvalósítható.</w:t>
      </w:r>
    </w:p>
    <w:p w14:paraId="350B7B74" w14:textId="77777777" w:rsidR="00EE730B" w:rsidRPr="00264E9E" w:rsidRDefault="00EE730B" w:rsidP="00EE730B">
      <w:pPr>
        <w:pStyle w:val="Listaszerbekezds"/>
        <w:numPr>
          <w:ilvl w:val="0"/>
          <w:numId w:val="1"/>
        </w:numPr>
        <w:ind w:left="567" w:hanging="567"/>
      </w:pPr>
      <w:r w:rsidRPr="00264E9E">
        <w:t>A visszamaradó kb. 7050 m2-es telek 2 db legalább 3000 m2-es telekre történő megosztásával azokon minden megengedett rendeltetés kialakítható, az épületek nem lehetnek 500 m2-nél nagyobbak.</w:t>
      </w:r>
    </w:p>
    <w:p w14:paraId="148BCE96" w14:textId="77777777" w:rsidR="00EE730B" w:rsidRPr="00264E9E" w:rsidRDefault="00EE730B" w:rsidP="00EE730B"/>
    <w:p w14:paraId="528101DE" w14:textId="79D00975" w:rsidR="00EE730B" w:rsidRPr="00264E9E" w:rsidRDefault="00EE730B" w:rsidP="00EE730B">
      <w:r w:rsidRPr="00264E9E">
        <w:t xml:space="preserve">A legkedvezőbb megoldás a C. változat lenne, mert annak esetén várható a legkisebb forgalomnövekedés. A forgalom növekedés elkerülendő, mivel a terület megközelítése Telki </w:t>
      </w:r>
      <w:r w:rsidR="00C206E0" w:rsidRPr="00264E9E">
        <w:t xml:space="preserve">már beépült </w:t>
      </w:r>
      <w:r w:rsidRPr="00264E9E">
        <w:t xml:space="preserve">lakóterületét </w:t>
      </w:r>
      <w:r w:rsidR="00C206E0" w:rsidRPr="00264E9E">
        <w:t xml:space="preserve">jelentős területi kiterjedésben </w:t>
      </w:r>
      <w:r w:rsidRPr="00264E9E">
        <w:t xml:space="preserve">érintené, </w:t>
      </w:r>
      <w:r w:rsidR="00C206E0" w:rsidRPr="00264E9E">
        <w:t xml:space="preserve">mivel </w:t>
      </w:r>
      <w:r w:rsidRPr="00264E9E">
        <w:t xml:space="preserve">az ingatlan a Budajenői úttól a Muskátli utca, Galagonya utca, Berkenye utca érintésével, a település északkeleti szélén, az erdő terület mellett helyezkedik el. </w:t>
      </w:r>
    </w:p>
    <w:p w14:paraId="3A319663" w14:textId="4844228E" w:rsidR="00EE730B" w:rsidRPr="00264E9E" w:rsidRDefault="00EE730B" w:rsidP="00EE730B">
      <w:r w:rsidRPr="00264E9E">
        <w:t>Mivel a terület másik irányból nem megközelíthető és a forgalom növekedése nem korlátozható, a már itt élők nyugalmának biztosítása érdekében az Lke-E1 (1) jelű építési övezetre vonatkozóan egyedi előírások bevezetése szükséges</w:t>
      </w:r>
      <w:r w:rsidR="00264E9E" w:rsidRPr="00264E9E">
        <w:t>.</w:t>
      </w:r>
    </w:p>
    <w:p w14:paraId="6D081EE6" w14:textId="77777777" w:rsidR="00EE730B" w:rsidRPr="00264E9E" w:rsidRDefault="00EE730B" w:rsidP="00264E9E"/>
    <w:p w14:paraId="6B96610D" w14:textId="77777777" w:rsidR="00EE730B" w:rsidRPr="00264E9E" w:rsidRDefault="00EE730B" w:rsidP="00EE730B">
      <w:pPr>
        <w:rPr>
          <w:bCs/>
        </w:rPr>
      </w:pPr>
      <w:r w:rsidRPr="00264E9E">
        <w:rPr>
          <w:bCs/>
          <w:noProof/>
        </w:rPr>
        <w:drawing>
          <wp:anchor distT="0" distB="0" distL="114300" distR="114300" simplePos="0" relativeHeight="251661312" behindDoc="1" locked="0" layoutInCell="1" allowOverlap="1" wp14:anchorId="1D582732" wp14:editId="59E46242">
            <wp:simplePos x="0" y="0"/>
            <wp:positionH relativeFrom="margin">
              <wp:align>right</wp:align>
            </wp:positionH>
            <wp:positionV relativeFrom="paragraph">
              <wp:posOffset>61415</wp:posOffset>
            </wp:positionV>
            <wp:extent cx="2030400" cy="1998000"/>
            <wp:effectExtent l="0" t="0" r="8255" b="2540"/>
            <wp:wrapTight wrapText="bothSides">
              <wp:wrapPolygon edited="0">
                <wp:start x="0" y="0"/>
                <wp:lineTo x="0" y="21421"/>
                <wp:lineTo x="21485" y="21421"/>
                <wp:lineTo x="21485" y="0"/>
                <wp:lineTo x="0" y="0"/>
              </wp:wrapPolygon>
            </wp:wrapTight>
            <wp:docPr id="2098373682" name="Kép 8" descr="A képen térkép, szöveg, atlasz, diagram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373682" name="Kép 8" descr="A képen térkép, szöveg, atlasz, diagram látható&#10;&#10;Előfordulhat, hogy a mesterséges intelligencia által létrehozott tartalom helytele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400" cy="199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4E9E">
        <w:rPr>
          <w:bCs/>
          <w:noProof/>
        </w:rPr>
        <w:t xml:space="preserve">A 3. terület </w:t>
      </w:r>
      <w:r w:rsidRPr="00264E9E">
        <w:rPr>
          <w:bCs/>
        </w:rPr>
        <w:t>Telki déli részén található, a Cinege utca, Zöldike utca, Sármány utca mentén 4 tömbben került kijelölésre az Lke-E1 (1) jelű építési övezet. A kb. 5,5 ha-os terület 26 db ingatlant tartalmaz.</w:t>
      </w:r>
    </w:p>
    <w:p w14:paraId="03162789" w14:textId="77777777" w:rsidR="00EE730B" w:rsidRPr="00264E9E" w:rsidRDefault="00EE730B" w:rsidP="00EE730B"/>
    <w:p w14:paraId="03F77755" w14:textId="6F96F0F4" w:rsidR="00EE730B" w:rsidRPr="00264E9E" w:rsidRDefault="00EE730B" w:rsidP="00EE730B">
      <w:r w:rsidRPr="00264E9E">
        <w:t xml:space="preserve">A telkek területe 570 és 7574 m2 közötti. Az átlagos telekterület kb. 2100 m2. A telkek jelentős része már beépült, a beépítettség mértéke </w:t>
      </w:r>
      <w:r w:rsidR="00264E9E" w:rsidRPr="00264E9E">
        <w:t>tág határok</w:t>
      </w:r>
      <w:r w:rsidRPr="00264E9E">
        <w:t xml:space="preserve"> között mozog, az átlagos beépítettség kb. 13,5 %.</w:t>
      </w:r>
    </w:p>
    <w:p w14:paraId="47A9B313" w14:textId="77777777" w:rsidR="00EE730B" w:rsidRPr="00264E9E" w:rsidRDefault="00EE730B" w:rsidP="00EE730B"/>
    <w:p w14:paraId="5447BD67" w14:textId="2658592B" w:rsidR="00EE730B" w:rsidRPr="00264E9E" w:rsidRDefault="00EE730B" w:rsidP="00EE730B">
      <w:r w:rsidRPr="00264E9E">
        <w:t>Mivel a beépítetlen ingatlanok száma elenyésző és a telekméretek alapján csak egyetlen telek osztható ketté, ezen a területen</w:t>
      </w:r>
      <w:r w:rsidR="00C206E0" w:rsidRPr="00264E9E">
        <w:t xml:space="preserve"> további beépítések </w:t>
      </w:r>
      <w:r w:rsidR="00AE5125" w:rsidRPr="00264E9E">
        <w:t>megjelenése következtében</w:t>
      </w:r>
      <w:r w:rsidRPr="00264E9E">
        <w:t xml:space="preserve"> jelentős forgalomnövekedés veszélye nem áll fenn.</w:t>
      </w:r>
    </w:p>
    <w:p w14:paraId="117DB3AF" w14:textId="77777777" w:rsidR="00AE5125" w:rsidRPr="00264E9E" w:rsidRDefault="00AE5125" w:rsidP="00EE730B"/>
    <w:p w14:paraId="1CEA83D2" w14:textId="07E7A929" w:rsidR="00AE5125" w:rsidRPr="00264E9E" w:rsidRDefault="00AE5125" w:rsidP="00EE730B">
      <w:r w:rsidRPr="00264E9E">
        <w:t xml:space="preserve">Összességében tehát a jelen felülvizsgálat eredményeként a vizsgálatba vont lakóövezetben csak a </w:t>
      </w:r>
      <w:r w:rsidR="00264E9E" w:rsidRPr="00264E9E">
        <w:t>3000 m2-es, vagy annál</w:t>
      </w:r>
      <w:r w:rsidRPr="00264E9E">
        <w:t xml:space="preserve"> nagyobb területű ingatlanokon szükséges a lakó rendeltetéstől eltérő rendeltetések volumenének általános előírásoktól eltérő (differenciált) szabályozása az alábbiak szerint:</w:t>
      </w:r>
    </w:p>
    <w:p w14:paraId="117CC8FE" w14:textId="77777777" w:rsidR="00AE5125" w:rsidRPr="00264E9E" w:rsidRDefault="00AE5125" w:rsidP="00EE730B"/>
    <w:p w14:paraId="12BD72A8" w14:textId="77777777" w:rsidR="00264E9E" w:rsidRPr="00264E9E" w:rsidRDefault="00264E9E" w:rsidP="00264E9E">
      <w:pPr>
        <w:rPr>
          <w:b/>
          <w:bCs/>
        </w:rPr>
      </w:pPr>
      <w:r w:rsidRPr="00264E9E">
        <w:rPr>
          <w:b/>
          <w:bCs/>
        </w:rPr>
        <w:t>A HÉSZ 35. §-a kiegészül a következő előírással:</w:t>
      </w:r>
    </w:p>
    <w:p w14:paraId="08E444F7" w14:textId="38153EA7" w:rsidR="00264E9E" w:rsidRPr="00264E9E" w:rsidRDefault="00264E9E" w:rsidP="00264E9E">
      <w:pPr>
        <w:ind w:left="1276" w:hanging="709"/>
        <w:rPr>
          <w:b/>
          <w:bCs/>
        </w:rPr>
      </w:pPr>
      <w:r w:rsidRPr="00264E9E">
        <w:rPr>
          <w:b/>
          <w:bCs/>
        </w:rPr>
        <w:t>(9a)</w:t>
      </w:r>
      <w:r w:rsidRPr="00264E9E">
        <w:rPr>
          <w:b/>
          <w:bCs/>
        </w:rPr>
        <w:tab/>
        <w:t>Az Lke-E1 (1) jelű építési övezetben a 3000 m2, vagy annál nagyobb területű telek esetén a 34. § (3) b) és e) pontjaiban felsorolt rendeltetések összes földszinti bruttó alapterülete nem haladhatja meg az 500 m2-t</w:t>
      </w:r>
      <w:r w:rsidR="009A34FB">
        <w:rPr>
          <w:b/>
          <w:bCs/>
        </w:rPr>
        <w:t>.</w:t>
      </w:r>
    </w:p>
    <w:p w14:paraId="2CD68E73" w14:textId="3F43A139" w:rsidR="00AE5125" w:rsidRPr="00264E9E" w:rsidRDefault="00AE5125" w:rsidP="00264E9E"/>
    <w:sectPr w:rsidR="00AE5125" w:rsidRPr="00264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95609"/>
    <w:multiLevelType w:val="hybridMultilevel"/>
    <w:tmpl w:val="4AB43DB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79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B"/>
    <w:rsid w:val="000242BD"/>
    <w:rsid w:val="0013288E"/>
    <w:rsid w:val="0016505B"/>
    <w:rsid w:val="00185D8E"/>
    <w:rsid w:val="00264E9E"/>
    <w:rsid w:val="003451F3"/>
    <w:rsid w:val="00347052"/>
    <w:rsid w:val="003D6B60"/>
    <w:rsid w:val="00497B58"/>
    <w:rsid w:val="0055196F"/>
    <w:rsid w:val="006209C2"/>
    <w:rsid w:val="0072189C"/>
    <w:rsid w:val="007E2230"/>
    <w:rsid w:val="008E7D63"/>
    <w:rsid w:val="009A34FB"/>
    <w:rsid w:val="00AE5125"/>
    <w:rsid w:val="00C12391"/>
    <w:rsid w:val="00C206E0"/>
    <w:rsid w:val="00C51BF0"/>
    <w:rsid w:val="00C70F43"/>
    <w:rsid w:val="00E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FA81"/>
  <w15:chartTrackingRefBased/>
  <w15:docId w15:val="{00BC985C-9C13-4419-A82F-2E498593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730B"/>
    <w:rPr>
      <w:rFonts w:ascii="Cambria" w:eastAsia="Times New Roman" w:hAnsi="Cambria" w:cs="Times New Roman"/>
      <w:kern w:val="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E7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7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nhideWhenUsed/>
    <w:qFormat/>
    <w:rsid w:val="00EE73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73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73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730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730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730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730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E7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E7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7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730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730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730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730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730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730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E7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E7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E730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E7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E73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E730B"/>
    <w:rPr>
      <w:rFonts w:ascii="Cambria" w:hAnsi="Cambria"/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EE730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E730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E7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E730B"/>
    <w:rPr>
      <w:rFonts w:ascii="Cambria" w:hAnsi="Cambria"/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E730B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E730B"/>
    <w:rPr>
      <w:rFonts w:ascii="Cambria" w:hAnsi="Cambria"/>
    </w:rPr>
  </w:style>
  <w:style w:type="paragraph" w:customStyle="1" w:styleId="Stlus3">
    <w:name w:val="Stílus3"/>
    <w:basedOn w:val="Norml"/>
    <w:link w:val="Stlus3Char"/>
    <w:qFormat/>
    <w:rsid w:val="00EE730B"/>
    <w:pPr>
      <w:tabs>
        <w:tab w:val="num" w:pos="576"/>
        <w:tab w:val="left" w:pos="2977"/>
      </w:tabs>
      <w:spacing w:after="240"/>
    </w:pPr>
    <w:rPr>
      <w:b/>
      <w:u w:val="single"/>
    </w:rPr>
  </w:style>
  <w:style w:type="character" w:customStyle="1" w:styleId="Stlus3Char">
    <w:name w:val="Stílus3 Char"/>
    <w:basedOn w:val="Bekezdsalapbettpusa"/>
    <w:link w:val="Stlus3"/>
    <w:rsid w:val="00EE730B"/>
    <w:rPr>
      <w:rFonts w:ascii="Cambria" w:eastAsia="Times New Roman" w:hAnsi="Cambria" w:cs="Times New Roman"/>
      <w:b/>
      <w:kern w:val="0"/>
      <w:szCs w:val="20"/>
      <w:u w:val="single"/>
      <w:lang w:eastAsia="hu-HU"/>
      <w14:ligatures w14:val="none"/>
    </w:rPr>
  </w:style>
  <w:style w:type="paragraph" w:styleId="Vltozat">
    <w:name w:val="Revision"/>
    <w:hidden/>
    <w:uiPriority w:val="99"/>
    <w:semiHidden/>
    <w:rsid w:val="00185D8E"/>
    <w:pPr>
      <w:spacing w:line="240" w:lineRule="auto"/>
      <w:jc w:val="left"/>
    </w:pPr>
    <w:rPr>
      <w:rFonts w:ascii="Cambria" w:eastAsia="Times New Roman" w:hAnsi="Cambria" w:cs="Times New Roman"/>
      <w:kern w:val="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4324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Ferenc</dc:creator>
  <cp:keywords/>
  <dc:description/>
  <cp:lastModifiedBy>Mónika Lack</cp:lastModifiedBy>
  <cp:revision>2</cp:revision>
  <dcterms:created xsi:type="dcterms:W3CDTF">2025-03-07T06:52:00Z</dcterms:created>
  <dcterms:modified xsi:type="dcterms:W3CDTF">2025-03-07T06:52:00Z</dcterms:modified>
</cp:coreProperties>
</file>